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AF64" w14:textId="77777777" w:rsidR="00761C49" w:rsidRPr="00761C49" w:rsidRDefault="00761C49" w:rsidP="00761C49">
      <w:r w:rsidRPr="00761C49">
        <w:t>Here's the step-by-step language to use when processing the prescription with the secondary payment.  </w:t>
      </w:r>
    </w:p>
    <w:p w14:paraId="78EF426D" w14:textId="77777777" w:rsidR="00761C49" w:rsidRPr="00761C49" w:rsidRDefault="00761C49" w:rsidP="00761C49"/>
    <w:p w14:paraId="0DD44B28" w14:textId="77777777" w:rsidR="00761C49" w:rsidRPr="00761C49" w:rsidRDefault="00761C49" w:rsidP="00761C49">
      <w:r w:rsidRPr="00761C49">
        <w:rPr>
          <w:b/>
          <w:bCs/>
        </w:rPr>
        <w:t>Connecting the Copay Card with Primary Coverage</w:t>
      </w:r>
    </w:p>
    <w:p w14:paraId="2454053D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Enter the PROFL billing information and press "OK"</w:t>
      </w:r>
    </w:p>
    <w:p w14:paraId="4659C87B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(On the prescription entry screen) Press Custom Payment Order</w:t>
      </w:r>
      <w:r w:rsidRPr="00761C49">
        <w:br/>
      </w:r>
    </w:p>
    <w:p w14:paraId="7D6CEFEB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Select PROFL and place a Y in the COB field</w:t>
      </w:r>
    </w:p>
    <w:p w14:paraId="573D1763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Press "OK"</w:t>
      </w:r>
    </w:p>
    <w:p w14:paraId="5DB7051C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Select Options</w:t>
      </w:r>
    </w:p>
    <w:p w14:paraId="514BDC56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Third Party Authorization </w:t>
      </w:r>
    </w:p>
    <w:p w14:paraId="6650AEEC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(At the top, make sure to select the second tab "COB" - not the primary insurance window) In the Submission clarification (Rx Denial) field: 99-other</w:t>
      </w:r>
    </w:p>
    <w:p w14:paraId="40539237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Press "Ok"</w:t>
      </w:r>
    </w:p>
    <w:p w14:paraId="611D12D5" w14:textId="77777777" w:rsidR="00761C49" w:rsidRPr="00761C49" w:rsidRDefault="00761C49" w:rsidP="00761C49">
      <w:pPr>
        <w:numPr>
          <w:ilvl w:val="0"/>
          <w:numId w:val="3"/>
        </w:numPr>
      </w:pPr>
      <w:r w:rsidRPr="00761C49">
        <w:t>Press "Update Fill"</w:t>
      </w:r>
    </w:p>
    <w:p w14:paraId="336860D4" w14:textId="77777777" w:rsidR="00761C49" w:rsidRPr="00761C49" w:rsidRDefault="00761C49" w:rsidP="00761C49">
      <w:r w:rsidRPr="00761C49">
        <w:rPr>
          <w:b/>
          <w:bCs/>
        </w:rPr>
        <w:t>If an SDL (Submit Direct Link) is required: </w:t>
      </w:r>
    </w:p>
    <w:p w14:paraId="46576AA0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Bill the Claim through Primary Insurance and "Cash out" the secondary insurance.</w:t>
      </w:r>
    </w:p>
    <w:p w14:paraId="22A24C27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 xml:space="preserve">Open </w:t>
      </w:r>
      <w:proofErr w:type="spellStart"/>
      <w:r w:rsidRPr="00761C49">
        <w:t>WebSDL</w:t>
      </w:r>
      <w:proofErr w:type="spellEnd"/>
      <w:r w:rsidRPr="00761C49">
        <w:t xml:space="preserve"> - (Application - Submit direct Link</w:t>
      </w:r>
    </w:p>
    <w:p w14:paraId="47502758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Select PROFL</w:t>
      </w:r>
    </w:p>
    <w:p w14:paraId="69023721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Click Third Party Authorization </w:t>
      </w:r>
    </w:p>
    <w:p w14:paraId="1509D6DD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In the Submission clarification (Rx Denial) field: 99-other</w:t>
      </w:r>
    </w:p>
    <w:p w14:paraId="3584A903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Press "Ok" </w:t>
      </w:r>
    </w:p>
    <w:p w14:paraId="3D54B1EE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Press COB/</w:t>
      </w:r>
      <w:proofErr w:type="spellStart"/>
      <w:r w:rsidRPr="00761C49">
        <w:t>OtherCov</w:t>
      </w:r>
      <w:proofErr w:type="spellEnd"/>
    </w:p>
    <w:p w14:paraId="753AC921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Press "Ok"</w:t>
      </w:r>
    </w:p>
    <w:p w14:paraId="6B42F6BD" w14:textId="77777777" w:rsidR="00761C49" w:rsidRPr="00761C49" w:rsidRDefault="00761C49" w:rsidP="00761C49">
      <w:pPr>
        <w:numPr>
          <w:ilvl w:val="0"/>
          <w:numId w:val="4"/>
        </w:numPr>
      </w:pPr>
      <w:r w:rsidRPr="00761C49">
        <w:t>Press "Submit"</w:t>
      </w:r>
    </w:p>
    <w:p w14:paraId="0A0CE994" w14:textId="77777777" w:rsidR="00761C49" w:rsidRDefault="00761C49"/>
    <w:sectPr w:rsidR="0076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1910"/>
    <w:multiLevelType w:val="multilevel"/>
    <w:tmpl w:val="8506C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2655E"/>
    <w:multiLevelType w:val="multilevel"/>
    <w:tmpl w:val="0786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4D60EB"/>
    <w:multiLevelType w:val="multilevel"/>
    <w:tmpl w:val="DEF03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E210A7"/>
    <w:multiLevelType w:val="multilevel"/>
    <w:tmpl w:val="1EA40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4961169">
    <w:abstractNumId w:val="0"/>
  </w:num>
  <w:num w:numId="2" w16cid:durableId="1455976291">
    <w:abstractNumId w:val="1"/>
  </w:num>
  <w:num w:numId="3" w16cid:durableId="528571142">
    <w:abstractNumId w:val="3"/>
  </w:num>
  <w:num w:numId="4" w16cid:durableId="103036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C49"/>
    <w:rsid w:val="00761C49"/>
    <w:rsid w:val="00BC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96F0"/>
  <w15:chartTrackingRefBased/>
  <w15:docId w15:val="{66D97930-EB1D-41A0-B81A-B4E55F16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C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C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C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C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C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C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C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C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C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C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MacLaughlan</dc:creator>
  <cp:keywords/>
  <dc:description/>
  <cp:lastModifiedBy>Todd MacLaughlan</cp:lastModifiedBy>
  <cp:revision>1</cp:revision>
  <dcterms:created xsi:type="dcterms:W3CDTF">2025-03-13T19:00:00Z</dcterms:created>
  <dcterms:modified xsi:type="dcterms:W3CDTF">2025-03-13T19:00:00Z</dcterms:modified>
</cp:coreProperties>
</file>